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503D" w14:textId="77777777" w:rsidR="00F372BA" w:rsidRDefault="00F372BA">
      <w:pPr>
        <w:rPr>
          <w:rFonts w:eastAsia="Times New Roman" w:cstheme="minorHAnsi"/>
          <w:b/>
          <w:u w:val="single"/>
          <w:lang w:eastAsia="en-MY"/>
        </w:rPr>
      </w:pPr>
      <w:bookmarkStart w:id="0" w:name="_Hlk108613794"/>
      <w:r w:rsidRPr="00F372BA">
        <w:rPr>
          <w:rFonts w:eastAsia="Times New Roman" w:cstheme="minorHAnsi"/>
          <w:b/>
          <w:u w:val="single"/>
          <w:lang w:eastAsia="en-MY"/>
        </w:rPr>
        <w:t>Jom Labur Online Laju Campaign</w:t>
      </w:r>
      <w:bookmarkStart w:id="1" w:name="_Hlk108611511"/>
      <w:r>
        <w:rPr>
          <w:rFonts w:eastAsia="Times New Roman" w:cstheme="minorHAnsi"/>
          <w:b/>
          <w:u w:val="single"/>
          <w:lang w:eastAsia="en-MY"/>
        </w:rPr>
        <w:t xml:space="preserve"> </w:t>
      </w:r>
    </w:p>
    <w:p w14:paraId="442A4F8E" w14:textId="7B6A5CB4" w:rsidR="00C80B60" w:rsidRPr="00AD3A93" w:rsidRDefault="00ED2C86">
      <w:pPr>
        <w:rPr>
          <w:b/>
        </w:rPr>
      </w:pPr>
      <w:r w:rsidRPr="00F372BA">
        <w:rPr>
          <w:b/>
        </w:rPr>
        <w:t>Frequently Asked Questions</w:t>
      </w:r>
    </w:p>
    <w:p w14:paraId="263AD314" w14:textId="32E395DF" w:rsidR="00694302" w:rsidRPr="00AD3A93" w:rsidRDefault="00ED2C86" w:rsidP="00F12435">
      <w:pPr>
        <w:pStyle w:val="Question"/>
      </w:pPr>
      <w:r w:rsidRPr="00AD3A93">
        <w:t xml:space="preserve">What is this </w:t>
      </w:r>
      <w:r w:rsidR="00F372BA">
        <w:t>campaign and who is eligible</w:t>
      </w:r>
      <w:r w:rsidR="00694302" w:rsidRPr="00AD3A93">
        <w:t>?</w:t>
      </w:r>
    </w:p>
    <w:p w14:paraId="6C8FFE4D" w14:textId="62A86CEF" w:rsidR="00F372BA" w:rsidRPr="00F372BA" w:rsidRDefault="00F372BA" w:rsidP="00F372BA">
      <w:pPr>
        <w:spacing w:before="200" w:after="200"/>
        <w:jc w:val="both"/>
        <w:rPr>
          <w:rFonts w:cstheme="minorHAnsi"/>
        </w:rPr>
      </w:pPr>
      <w:bookmarkStart w:id="2" w:name="_Hlk111800885"/>
      <w:r w:rsidRPr="00F372BA">
        <w:rPr>
          <w:rFonts w:cstheme="minorHAnsi"/>
        </w:rPr>
        <w:t>Users who invest in any ASNB</w:t>
      </w:r>
      <w:r w:rsidR="005534BA">
        <w:rPr>
          <w:rFonts w:cstheme="minorHAnsi"/>
        </w:rPr>
        <w:t xml:space="preserve"> unit trust</w:t>
      </w:r>
      <w:r w:rsidRPr="00F372BA">
        <w:rPr>
          <w:rFonts w:cstheme="minorHAnsi"/>
        </w:rPr>
        <w:t xml:space="preserve"> Funds</w:t>
      </w:r>
      <w:r w:rsidR="005534BA">
        <w:rPr>
          <w:rFonts w:cstheme="minorHAnsi"/>
        </w:rPr>
        <w:t xml:space="preserve"> (“Funds”)</w:t>
      </w:r>
      <w:r w:rsidRPr="00F372BA">
        <w:rPr>
          <w:rFonts w:cstheme="minorHAnsi"/>
        </w:rPr>
        <w:t xml:space="preserve"> (both Fixed Price Funds and Variable Price Funds) with a minimum investment of RM10 in a single transaction through Touch ‘n Go eWallet </w:t>
      </w:r>
      <w:r w:rsidR="005534BA">
        <w:rPr>
          <w:rFonts w:cstheme="minorHAnsi"/>
        </w:rPr>
        <w:t>shall be entitled to receive</w:t>
      </w:r>
      <w:r w:rsidRPr="00F372BA">
        <w:rPr>
          <w:rFonts w:cstheme="minorHAnsi"/>
        </w:rPr>
        <w:t xml:space="preserve"> RM1 Cashback.  In addition, for users who invest in any Variable Price Funds with minimum investment of RM500 in a single transaction through Touch ‘n Go eWallet </w:t>
      </w:r>
      <w:r w:rsidR="005534BA">
        <w:rPr>
          <w:rFonts w:cstheme="minorHAnsi"/>
        </w:rPr>
        <w:t>shall be entitled to receive RM10</w:t>
      </w:r>
      <w:r w:rsidRPr="00F372BA">
        <w:rPr>
          <w:rFonts w:cstheme="minorHAnsi"/>
        </w:rPr>
        <w:t xml:space="preserve"> </w:t>
      </w:r>
      <w:r w:rsidR="005534BA">
        <w:rPr>
          <w:rFonts w:cstheme="minorHAnsi"/>
        </w:rPr>
        <w:t>B</w:t>
      </w:r>
      <w:r w:rsidRPr="00F372BA">
        <w:rPr>
          <w:rFonts w:cstheme="minorHAnsi"/>
        </w:rPr>
        <w:t xml:space="preserve">onus </w:t>
      </w:r>
      <w:r w:rsidR="005534BA">
        <w:rPr>
          <w:rFonts w:cstheme="minorHAnsi"/>
        </w:rPr>
        <w:t>C</w:t>
      </w:r>
      <w:r w:rsidRPr="00F372BA">
        <w:rPr>
          <w:rFonts w:cstheme="minorHAnsi"/>
        </w:rPr>
        <w:t>ashback. The list of ASNB Funds is as follows:</w:t>
      </w:r>
    </w:p>
    <w:tbl>
      <w:tblPr>
        <w:tblStyle w:val="TableGrid"/>
        <w:tblW w:w="8363" w:type="dxa"/>
        <w:tblInd w:w="-5" w:type="dxa"/>
        <w:tblLook w:val="04A0" w:firstRow="1" w:lastRow="0" w:firstColumn="1" w:lastColumn="0" w:noHBand="0" w:noVBand="1"/>
      </w:tblPr>
      <w:tblGrid>
        <w:gridCol w:w="4446"/>
        <w:gridCol w:w="3917"/>
      </w:tblGrid>
      <w:tr w:rsidR="00F372BA" w:rsidRPr="00F372BA" w14:paraId="5FBA6D03" w14:textId="77777777" w:rsidTr="00F372BA">
        <w:tc>
          <w:tcPr>
            <w:tcW w:w="4446" w:type="dxa"/>
            <w:shd w:val="clear" w:color="auto" w:fill="000000" w:themeFill="text1"/>
          </w:tcPr>
          <w:p w14:paraId="6B1BB799" w14:textId="77777777" w:rsidR="00F372BA" w:rsidRPr="00F372BA" w:rsidRDefault="00F372BA" w:rsidP="00F372BA">
            <w:pPr>
              <w:jc w:val="center"/>
            </w:pPr>
            <w:r w:rsidRPr="00F372BA">
              <w:t>Fixed Price Funds</w:t>
            </w:r>
          </w:p>
        </w:tc>
        <w:tc>
          <w:tcPr>
            <w:tcW w:w="3917" w:type="dxa"/>
            <w:shd w:val="clear" w:color="auto" w:fill="000000" w:themeFill="text1"/>
          </w:tcPr>
          <w:p w14:paraId="215F4A84" w14:textId="77777777" w:rsidR="00F372BA" w:rsidRPr="00F372BA" w:rsidRDefault="00F372BA" w:rsidP="00F372BA">
            <w:pPr>
              <w:jc w:val="center"/>
            </w:pPr>
            <w:r w:rsidRPr="00F372BA">
              <w:t>Variable Price Funds</w:t>
            </w:r>
          </w:p>
        </w:tc>
      </w:tr>
      <w:tr w:rsidR="00F372BA" w:rsidRPr="00F372BA" w14:paraId="434AF7D9" w14:textId="77777777" w:rsidTr="00F372BA">
        <w:tc>
          <w:tcPr>
            <w:tcW w:w="4446" w:type="dxa"/>
          </w:tcPr>
          <w:p w14:paraId="0DF4FBBD" w14:textId="77777777" w:rsidR="00F372BA" w:rsidRPr="00F372BA" w:rsidRDefault="00F372BA" w:rsidP="00F372BA">
            <w:pPr>
              <w:numPr>
                <w:ilvl w:val="0"/>
                <w:numId w:val="8"/>
              </w:numPr>
              <w:tabs>
                <w:tab w:val="num" w:pos="453"/>
              </w:tabs>
              <w:spacing w:before="100" w:beforeAutospacing="1" w:after="100" w:afterAutospacing="1"/>
              <w:ind w:hanging="550"/>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Amanah Saham Bumiputera (ASB)</w:t>
            </w:r>
          </w:p>
          <w:p w14:paraId="0A6A2781" w14:textId="77777777" w:rsidR="00F372BA" w:rsidRPr="00F372BA" w:rsidRDefault="00F372BA" w:rsidP="00F372BA">
            <w:pPr>
              <w:numPr>
                <w:ilvl w:val="0"/>
                <w:numId w:val="8"/>
              </w:numPr>
              <w:tabs>
                <w:tab w:val="num" w:pos="453"/>
              </w:tabs>
              <w:spacing w:before="100" w:beforeAutospacing="1" w:after="100" w:afterAutospacing="1"/>
              <w:ind w:hanging="550"/>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Amanah Saham Bumiputera 2 (ASB 2)</w:t>
            </w:r>
          </w:p>
          <w:p w14:paraId="257A28ED" w14:textId="77777777" w:rsidR="00F372BA" w:rsidRPr="00F372BA" w:rsidRDefault="00F372BA" w:rsidP="00F372BA">
            <w:pPr>
              <w:numPr>
                <w:ilvl w:val="0"/>
                <w:numId w:val="8"/>
              </w:numPr>
              <w:tabs>
                <w:tab w:val="num" w:pos="453"/>
              </w:tabs>
              <w:spacing w:before="100" w:beforeAutospacing="1" w:after="100" w:afterAutospacing="1"/>
              <w:ind w:hanging="550"/>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Amanah Saham Bumiputera 3 Didik (ASB 3 Didik)</w:t>
            </w:r>
          </w:p>
          <w:p w14:paraId="5A80D441" w14:textId="77777777" w:rsidR="00F372BA" w:rsidRPr="00F372BA" w:rsidRDefault="00F372BA" w:rsidP="00F372BA">
            <w:pPr>
              <w:numPr>
                <w:ilvl w:val="0"/>
                <w:numId w:val="8"/>
              </w:numPr>
              <w:tabs>
                <w:tab w:val="num" w:pos="453"/>
              </w:tabs>
              <w:spacing w:before="100" w:beforeAutospacing="1" w:after="100" w:afterAutospacing="1"/>
              <w:ind w:hanging="550"/>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Amanah Saham Malaysia (ASM)</w:t>
            </w:r>
          </w:p>
          <w:p w14:paraId="1B5B9862" w14:textId="77777777" w:rsidR="00F372BA" w:rsidRPr="00F372BA" w:rsidRDefault="00F372BA" w:rsidP="00F372BA">
            <w:pPr>
              <w:numPr>
                <w:ilvl w:val="0"/>
                <w:numId w:val="8"/>
              </w:numPr>
              <w:tabs>
                <w:tab w:val="num" w:pos="453"/>
              </w:tabs>
              <w:spacing w:before="100" w:beforeAutospacing="1" w:after="100" w:afterAutospacing="1"/>
              <w:ind w:hanging="550"/>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Amanah Saham Malaysia 2 - Wawasan (ASM 2 Wawasan)</w:t>
            </w:r>
          </w:p>
          <w:p w14:paraId="23F1A81E" w14:textId="77777777" w:rsidR="00F372BA" w:rsidRPr="00F372BA" w:rsidRDefault="00F372BA" w:rsidP="00F372BA">
            <w:pPr>
              <w:numPr>
                <w:ilvl w:val="0"/>
                <w:numId w:val="8"/>
              </w:numPr>
              <w:tabs>
                <w:tab w:val="num" w:pos="453"/>
              </w:tabs>
              <w:spacing w:before="100" w:beforeAutospacing="1" w:after="100" w:afterAutospacing="1"/>
              <w:ind w:hanging="550"/>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Amanah Saham Malaysia 3 (ASM 3)</w:t>
            </w:r>
          </w:p>
          <w:p w14:paraId="08CB4970" w14:textId="77777777" w:rsidR="00F372BA" w:rsidRPr="00F372BA" w:rsidRDefault="00F372BA" w:rsidP="00F372BA"/>
        </w:tc>
        <w:tc>
          <w:tcPr>
            <w:tcW w:w="3917" w:type="dxa"/>
          </w:tcPr>
          <w:p w14:paraId="79CD0C8D" w14:textId="77777777" w:rsidR="00F372BA" w:rsidRPr="00F372BA" w:rsidRDefault="00F372BA" w:rsidP="00F372BA">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Amanah Saham Nasional (ASN)</w:t>
            </w:r>
          </w:p>
          <w:p w14:paraId="4A676646" w14:textId="77777777" w:rsidR="00F372BA" w:rsidRPr="00F372BA" w:rsidRDefault="00F372BA" w:rsidP="00F372BA">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ASN Equity 2</w:t>
            </w:r>
          </w:p>
          <w:p w14:paraId="7BCB5861" w14:textId="77777777" w:rsidR="00F372BA" w:rsidRPr="00F372BA" w:rsidRDefault="00F372BA" w:rsidP="00F372BA">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ASN Equity 3</w:t>
            </w:r>
          </w:p>
          <w:p w14:paraId="430A6FFC" w14:textId="77777777" w:rsidR="00F372BA" w:rsidRPr="00F372BA" w:rsidRDefault="00F372BA" w:rsidP="00F372BA">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ASN Equity 5</w:t>
            </w:r>
          </w:p>
          <w:p w14:paraId="0276DC02" w14:textId="77777777" w:rsidR="00F372BA" w:rsidRPr="00F372BA" w:rsidRDefault="00F372BA" w:rsidP="00F372BA">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ASN Equity Global</w:t>
            </w:r>
          </w:p>
          <w:p w14:paraId="24E2FAD1" w14:textId="77777777" w:rsidR="00F372BA" w:rsidRPr="00F372BA" w:rsidRDefault="00F372BA" w:rsidP="00F372BA">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ASN Imbang 1</w:t>
            </w:r>
          </w:p>
          <w:p w14:paraId="32BCDF59" w14:textId="77777777" w:rsidR="00F372BA" w:rsidRPr="00F372BA" w:rsidRDefault="00F372BA" w:rsidP="00F372BA">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ASN Imbang 2</w:t>
            </w:r>
          </w:p>
          <w:p w14:paraId="12D12563" w14:textId="77777777" w:rsidR="00F372BA" w:rsidRPr="00F372BA" w:rsidRDefault="00F372BA" w:rsidP="00F372BA">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ASN Imbang 3 Global</w:t>
            </w:r>
          </w:p>
          <w:p w14:paraId="7C940873" w14:textId="77777777" w:rsidR="00F372BA" w:rsidRPr="00F372BA" w:rsidRDefault="00F372BA" w:rsidP="00F372BA">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ASN Sara 1</w:t>
            </w:r>
          </w:p>
          <w:p w14:paraId="56151A8A" w14:textId="77777777" w:rsidR="00F372BA" w:rsidRPr="00F372BA" w:rsidRDefault="00F372BA" w:rsidP="00F372BA">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ASN Sara 2</w:t>
            </w:r>
          </w:p>
          <w:p w14:paraId="02A7F63B" w14:textId="77777777" w:rsidR="00F372BA" w:rsidRPr="00F372BA" w:rsidRDefault="00F372BA" w:rsidP="00F372BA">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F372BA">
              <w:rPr>
                <w:rFonts w:ascii="Helvetica" w:eastAsia="Times New Roman" w:hAnsi="Helvetica" w:cs="Helvetica"/>
                <w:sz w:val="21"/>
                <w:szCs w:val="21"/>
                <w:lang w:eastAsia="zh-CN"/>
              </w:rPr>
              <w:t>ASN Sukuk</w:t>
            </w:r>
          </w:p>
          <w:p w14:paraId="009DDD99" w14:textId="77777777" w:rsidR="00F372BA" w:rsidRPr="00F372BA" w:rsidRDefault="00F372BA" w:rsidP="00F372BA"/>
        </w:tc>
      </w:tr>
    </w:tbl>
    <w:p w14:paraId="5D73E97D" w14:textId="77777777" w:rsidR="00F372BA" w:rsidRDefault="00F372BA" w:rsidP="00F372BA">
      <w:pPr>
        <w:pStyle w:val="Question"/>
        <w:numPr>
          <w:ilvl w:val="0"/>
          <w:numId w:val="0"/>
        </w:numPr>
        <w:ind w:left="567"/>
        <w:rPr>
          <w:highlight w:val="yellow"/>
        </w:rPr>
      </w:pPr>
      <w:bookmarkStart w:id="3" w:name="_Hlk108557488"/>
      <w:bookmarkEnd w:id="1"/>
      <w:bookmarkEnd w:id="2"/>
    </w:p>
    <w:p w14:paraId="26395D6D" w14:textId="75E90081" w:rsidR="00A96B30" w:rsidRPr="00F372BA" w:rsidRDefault="00A96B30" w:rsidP="00A96B30">
      <w:pPr>
        <w:pStyle w:val="Question"/>
      </w:pPr>
      <w:r w:rsidRPr="00F372BA">
        <w:t xml:space="preserve">What is the duration of this </w:t>
      </w:r>
      <w:bookmarkEnd w:id="3"/>
      <w:r w:rsidR="002256FE">
        <w:t>campaign</w:t>
      </w:r>
      <w:r w:rsidRPr="00F372BA">
        <w:t>?</w:t>
      </w:r>
    </w:p>
    <w:p w14:paraId="6F473FD5" w14:textId="77777777" w:rsidR="00F372BA" w:rsidRDefault="00F372BA" w:rsidP="00F372BA">
      <w:pPr>
        <w:pStyle w:val="Question"/>
        <w:numPr>
          <w:ilvl w:val="0"/>
          <w:numId w:val="0"/>
        </w:numPr>
        <w:ind w:left="567"/>
        <w:rPr>
          <w:b w:val="0"/>
          <w:bCs/>
          <w:color w:val="auto"/>
        </w:rPr>
      </w:pPr>
    </w:p>
    <w:p w14:paraId="559C36F1" w14:textId="17EE2C74" w:rsidR="00F372BA" w:rsidRPr="00F372BA" w:rsidRDefault="00F372BA" w:rsidP="00F372BA">
      <w:pPr>
        <w:pStyle w:val="Question"/>
        <w:numPr>
          <w:ilvl w:val="0"/>
          <w:numId w:val="0"/>
        </w:numPr>
        <w:rPr>
          <w:b w:val="0"/>
          <w:bCs/>
          <w:color w:val="auto"/>
        </w:rPr>
      </w:pPr>
      <w:r w:rsidRPr="00F372BA">
        <w:rPr>
          <w:b w:val="0"/>
          <w:bCs/>
          <w:color w:val="auto"/>
        </w:rPr>
        <w:t xml:space="preserve">The Campaign Period is from 16 August 2023 till </w:t>
      </w:r>
      <w:r w:rsidR="00D751E2">
        <w:rPr>
          <w:b w:val="0"/>
          <w:bCs/>
          <w:color w:val="auto"/>
        </w:rPr>
        <w:t>8 October</w:t>
      </w:r>
      <w:r w:rsidRPr="00F372BA">
        <w:rPr>
          <w:b w:val="0"/>
          <w:bCs/>
          <w:color w:val="auto"/>
        </w:rPr>
        <w:t xml:space="preserve"> 2023, both dates inclusive.</w:t>
      </w:r>
    </w:p>
    <w:p w14:paraId="7E3E11FE" w14:textId="10B46241" w:rsidR="00F372BA" w:rsidRPr="00ED69B2" w:rsidRDefault="00F372BA" w:rsidP="00F372BA">
      <w:pPr>
        <w:pStyle w:val="TNCList"/>
        <w:spacing w:line="259" w:lineRule="auto"/>
        <w:ind w:left="0" w:firstLine="0"/>
      </w:pPr>
      <w:r w:rsidRPr="00F372BA">
        <w:t xml:space="preserve">The RM1 Cashback is limited to first </w:t>
      </w:r>
      <w:r w:rsidR="005534BA">
        <w:t>Seventy Thousand (</w:t>
      </w:r>
      <w:r w:rsidRPr="00F372BA">
        <w:t>70,000</w:t>
      </w:r>
      <w:r w:rsidR="005534BA">
        <w:t>)</w:t>
      </w:r>
      <w:r w:rsidRPr="00F372BA">
        <w:t xml:space="preserve"> </w:t>
      </w:r>
      <w:r w:rsidR="005534BA">
        <w:t>eligible users</w:t>
      </w:r>
      <w:r w:rsidRPr="00F372BA">
        <w:t>. RM10 Bonus Cashback is limited to first</w:t>
      </w:r>
      <w:r w:rsidR="005534BA">
        <w:t xml:space="preserve"> Three Thousan</w:t>
      </w:r>
      <w:r w:rsidRPr="00F372BA">
        <w:t xml:space="preserve"> </w:t>
      </w:r>
      <w:r w:rsidR="005534BA">
        <w:t>(</w:t>
      </w:r>
      <w:r w:rsidRPr="00F372BA">
        <w:t>3,000</w:t>
      </w:r>
      <w:r w:rsidR="005534BA">
        <w:t>)</w:t>
      </w:r>
      <w:r w:rsidRPr="00F372BA">
        <w:t xml:space="preserve"> </w:t>
      </w:r>
      <w:r w:rsidR="005534BA">
        <w:t>eligible users only</w:t>
      </w:r>
      <w:r w:rsidRPr="00F372BA">
        <w:t>. The Campaign will cease once the Cashbacks have been fully utilized or at the expiration of the Campaign Period, whichever is earlier.</w:t>
      </w:r>
    </w:p>
    <w:p w14:paraId="2350079A" w14:textId="0EFAEB6A" w:rsidR="00A96B30" w:rsidRPr="00AD3A93" w:rsidRDefault="00A96B30" w:rsidP="00F372BA">
      <w:pPr>
        <w:pStyle w:val="Question"/>
        <w:numPr>
          <w:ilvl w:val="0"/>
          <w:numId w:val="0"/>
        </w:numPr>
        <w:ind w:left="567"/>
      </w:pPr>
    </w:p>
    <w:p w14:paraId="504075A3" w14:textId="3CA760E3" w:rsidR="00A96B30" w:rsidRPr="00AD3A93" w:rsidRDefault="00A96B30" w:rsidP="00A96B30">
      <w:pPr>
        <w:pStyle w:val="Question"/>
        <w:rPr>
          <w:lang w:eastAsia="en-MY"/>
        </w:rPr>
      </w:pPr>
      <w:bookmarkStart w:id="4" w:name="_Hlk108611879"/>
      <w:r w:rsidRPr="00AD3A93">
        <w:rPr>
          <w:lang w:eastAsia="en-MY"/>
        </w:rPr>
        <w:t xml:space="preserve">Are there any capping/limitations to this </w:t>
      </w:r>
      <w:r w:rsidR="002256FE">
        <w:rPr>
          <w:lang w:eastAsia="en-MY"/>
        </w:rPr>
        <w:t>campaign</w:t>
      </w:r>
      <w:r w:rsidRPr="00AD3A93">
        <w:rPr>
          <w:lang w:eastAsia="en-MY"/>
        </w:rPr>
        <w:t>?</w:t>
      </w:r>
    </w:p>
    <w:p w14:paraId="03ECB8D7" w14:textId="77777777" w:rsidR="00F372BA" w:rsidRDefault="00F372BA" w:rsidP="00F372BA">
      <w:pPr>
        <w:pStyle w:val="Question"/>
        <w:numPr>
          <w:ilvl w:val="0"/>
          <w:numId w:val="0"/>
        </w:numPr>
        <w:rPr>
          <w:b w:val="0"/>
          <w:bCs/>
          <w:color w:val="auto"/>
        </w:rPr>
      </w:pPr>
    </w:p>
    <w:p w14:paraId="3269C320" w14:textId="77777777" w:rsidR="005534BA" w:rsidRPr="00ED69B2" w:rsidRDefault="005534BA" w:rsidP="005534BA">
      <w:pPr>
        <w:pStyle w:val="TNCList"/>
        <w:spacing w:line="259" w:lineRule="auto"/>
        <w:ind w:left="0" w:firstLine="0"/>
      </w:pPr>
      <w:r w:rsidRPr="00F372BA">
        <w:t xml:space="preserve">The RM1 Cashback is limited to first </w:t>
      </w:r>
      <w:r>
        <w:t>Seventy Thousand (</w:t>
      </w:r>
      <w:r w:rsidRPr="00F372BA">
        <w:t>70,000</w:t>
      </w:r>
      <w:r>
        <w:t>)</w:t>
      </w:r>
      <w:r w:rsidRPr="00F372BA">
        <w:t xml:space="preserve"> </w:t>
      </w:r>
      <w:r>
        <w:t>eligible users</w:t>
      </w:r>
      <w:r w:rsidRPr="00F372BA">
        <w:t>. RM10 Bonus Cashback is limited to first</w:t>
      </w:r>
      <w:r>
        <w:t xml:space="preserve"> Three Thousan</w:t>
      </w:r>
      <w:r w:rsidRPr="00F372BA">
        <w:t xml:space="preserve"> </w:t>
      </w:r>
      <w:r>
        <w:t>(</w:t>
      </w:r>
      <w:r w:rsidRPr="00F372BA">
        <w:t>3,000</w:t>
      </w:r>
      <w:r>
        <w:t>)</w:t>
      </w:r>
      <w:r w:rsidRPr="00F372BA">
        <w:t xml:space="preserve"> </w:t>
      </w:r>
      <w:r>
        <w:t>eligible users only</w:t>
      </w:r>
      <w:r w:rsidRPr="00F372BA">
        <w:t>. The Campaign will cease once the Cashbacks have been fully utilized or at the expiration of the Campaign Period, whichever is earlier.</w:t>
      </w:r>
    </w:p>
    <w:p w14:paraId="65096848" w14:textId="77777777" w:rsidR="00A778C3" w:rsidRPr="00AD3A93" w:rsidRDefault="00A778C3" w:rsidP="00A778C3">
      <w:pPr>
        <w:pStyle w:val="Question"/>
        <w:rPr>
          <w:lang w:val="en-US"/>
        </w:rPr>
      </w:pPr>
      <w:bookmarkStart w:id="5" w:name="_Hlk108612346"/>
      <w:bookmarkEnd w:id="4"/>
      <w:r w:rsidRPr="00AD3A93">
        <w:rPr>
          <w:lang w:val="en-US"/>
        </w:rPr>
        <w:t>When will I receive the cashback?</w:t>
      </w:r>
      <w:bookmarkEnd w:id="5"/>
    </w:p>
    <w:p w14:paraId="5E202164" w14:textId="0508CDCD" w:rsidR="00DA6024" w:rsidRPr="00AD3A93" w:rsidRDefault="00F372BA">
      <w:pPr>
        <w:rPr>
          <w:b/>
          <w:color w:val="4472C4" w:themeColor="accent1"/>
          <w:lang w:val="en-US"/>
        </w:rPr>
      </w:pPr>
      <w:r w:rsidRPr="00F372BA">
        <w:rPr>
          <w:lang w:val="en-US"/>
        </w:rPr>
        <w:t>The RM1 Cashback and RM10 Bonus Cashback will be credited back to the respective Touch ‘n Go eWallet within Thirty (30) working days (Monday to Friday excluding Malaysia public holidays) after the end of Campaign Period. TNGD will NOT make any phone calls pursuant to this Campaign.</w:t>
      </w:r>
      <w:bookmarkStart w:id="6" w:name="_Hlk108612501"/>
      <w:r w:rsidR="00DA6024" w:rsidRPr="00AD3A93">
        <w:rPr>
          <w:lang w:val="en-US"/>
        </w:rPr>
        <w:br w:type="page"/>
      </w:r>
    </w:p>
    <w:p w14:paraId="4221AC38" w14:textId="50D35EB1" w:rsidR="00F431FE" w:rsidRPr="00AD3A93" w:rsidRDefault="00F372BA" w:rsidP="00F431FE">
      <w:pPr>
        <w:rPr>
          <w:rFonts w:eastAsia="Times New Roman" w:cstheme="minorHAnsi"/>
          <w:b/>
          <w:u w:val="single"/>
          <w:lang w:eastAsia="en-MY"/>
        </w:rPr>
      </w:pPr>
      <w:r>
        <w:rPr>
          <w:rFonts w:eastAsia="Times New Roman" w:cstheme="minorHAnsi"/>
          <w:b/>
          <w:u w:val="single"/>
          <w:lang w:eastAsia="en-MY"/>
        </w:rPr>
        <w:lastRenderedPageBreak/>
        <w:t>Kempen Jom Labur Online Laju</w:t>
      </w:r>
    </w:p>
    <w:p w14:paraId="20D8A61B" w14:textId="4C7EE1BA" w:rsidR="00F431FE" w:rsidRPr="00AD3A93" w:rsidRDefault="00F431FE" w:rsidP="00F431FE">
      <w:pPr>
        <w:spacing w:after="240" w:line="276" w:lineRule="auto"/>
        <w:rPr>
          <w:rStyle w:val="Strong"/>
          <w:rFonts w:eastAsia="Times New Roman" w:cstheme="minorHAnsi"/>
          <w:lang w:eastAsia="en-MY"/>
        </w:rPr>
      </w:pPr>
      <w:r w:rsidRPr="00AD3A93">
        <w:rPr>
          <w:rFonts w:eastAsia="Times New Roman" w:cstheme="minorHAnsi"/>
          <w:b/>
          <w:bCs/>
          <w:lang w:eastAsia="en-MY"/>
        </w:rPr>
        <w:t>Soalan Lazim</w:t>
      </w:r>
    </w:p>
    <w:p w14:paraId="46566581" w14:textId="77777777" w:rsidR="00F431FE" w:rsidRPr="00AD3A93" w:rsidRDefault="00F431FE" w:rsidP="00F431FE">
      <w:pPr>
        <w:pStyle w:val="Question"/>
        <w:numPr>
          <w:ilvl w:val="0"/>
          <w:numId w:val="0"/>
        </w:numPr>
        <w:ind w:left="567" w:hanging="567"/>
        <w:rPr>
          <w:lang w:val="en-US"/>
        </w:rPr>
      </w:pPr>
    </w:p>
    <w:p w14:paraId="045364D1" w14:textId="57E48F21" w:rsidR="00AF508B" w:rsidRPr="00AD3A93" w:rsidRDefault="00DA6024" w:rsidP="00AF508B">
      <w:pPr>
        <w:pStyle w:val="Question"/>
        <w:numPr>
          <w:ilvl w:val="0"/>
          <w:numId w:val="3"/>
        </w:numPr>
        <w:ind w:left="567" w:hanging="567"/>
        <w:rPr>
          <w:lang w:val="en-US"/>
        </w:rPr>
      </w:pPr>
      <w:r w:rsidRPr="00AD3A93">
        <w:rPr>
          <w:lang w:val="en-US"/>
        </w:rPr>
        <w:t xml:space="preserve">Apakah tawaran </w:t>
      </w:r>
      <w:r w:rsidR="00F372BA">
        <w:rPr>
          <w:lang w:val="en-US"/>
        </w:rPr>
        <w:t>kempen</w:t>
      </w:r>
      <w:r w:rsidR="00F372BA" w:rsidRPr="00AD3A93">
        <w:rPr>
          <w:lang w:val="en-US"/>
        </w:rPr>
        <w:t xml:space="preserve"> </w:t>
      </w:r>
      <w:r w:rsidRPr="00AD3A93">
        <w:rPr>
          <w:lang w:val="en-US"/>
        </w:rPr>
        <w:t>ini</w:t>
      </w:r>
      <w:r w:rsidR="00F372BA">
        <w:rPr>
          <w:lang w:val="en-US"/>
        </w:rPr>
        <w:t xml:space="preserve"> dan siapakan yang layak menikmati kempen ini</w:t>
      </w:r>
      <w:r w:rsidRPr="00AD3A93">
        <w:rPr>
          <w:lang w:val="en-US"/>
        </w:rPr>
        <w:t>?</w:t>
      </w:r>
    </w:p>
    <w:p w14:paraId="6E657B15" w14:textId="2C310D71" w:rsidR="002256FE" w:rsidRPr="002256FE" w:rsidRDefault="005534BA" w:rsidP="002256FE">
      <w:pPr>
        <w:spacing w:before="200" w:after="200"/>
        <w:jc w:val="both"/>
        <w:rPr>
          <w:rFonts w:cstheme="minorHAnsi"/>
          <w:lang w:eastAsia="en-MY"/>
        </w:rPr>
      </w:pPr>
      <w:r w:rsidRPr="005534BA">
        <w:rPr>
          <w:rFonts w:cstheme="minorHAnsi"/>
        </w:rPr>
        <w:t xml:space="preserve">Pengguna yang melabur dalam unit amanah ASNB (“Unit Amanah”) (Unit Amanah Harga Tetap dan Unit Amanah Harga Berubah) dengan pelaburan minimum RM10.00 dalam satu </w:t>
      </w:r>
      <w:proofErr w:type="gramStart"/>
      <w:r w:rsidRPr="005534BA">
        <w:rPr>
          <w:rFonts w:cstheme="minorHAnsi"/>
        </w:rPr>
        <w:t>transaksi  melalui</w:t>
      </w:r>
      <w:proofErr w:type="gramEnd"/>
      <w:r w:rsidRPr="005534BA">
        <w:rPr>
          <w:rFonts w:cstheme="minorHAnsi"/>
        </w:rPr>
        <w:t xml:space="preserve"> aplikasi Touch ‘n Go eWallet layak mendapat Pulangan Tunai RM1. Selain itu, pengguna yang melabur dalam Unit Amanah Harga Berubah dengan pelaburan minimum RM500 dalam satu transaksi melalui applikasi Touch ‘n Go eWallet layak mendapat Pulangan Tunai Bonus RM10. Senarai Unit Amanah ASNB seperti berikut:</w:t>
      </w:r>
    </w:p>
    <w:tbl>
      <w:tblPr>
        <w:tblStyle w:val="TableGrid"/>
        <w:tblW w:w="8363" w:type="dxa"/>
        <w:tblInd w:w="-5" w:type="dxa"/>
        <w:tblLook w:val="04A0" w:firstRow="1" w:lastRow="0" w:firstColumn="1" w:lastColumn="0" w:noHBand="0" w:noVBand="1"/>
      </w:tblPr>
      <w:tblGrid>
        <w:gridCol w:w="4446"/>
        <w:gridCol w:w="3917"/>
      </w:tblGrid>
      <w:tr w:rsidR="002256FE" w:rsidRPr="002256FE" w14:paraId="54FAEFD6" w14:textId="77777777" w:rsidTr="002256FE">
        <w:tc>
          <w:tcPr>
            <w:tcW w:w="4446" w:type="dxa"/>
            <w:shd w:val="clear" w:color="auto" w:fill="000000" w:themeFill="text1"/>
          </w:tcPr>
          <w:p w14:paraId="462FD428" w14:textId="77777777" w:rsidR="002256FE" w:rsidRPr="002256FE" w:rsidRDefault="002256FE" w:rsidP="002256FE">
            <w:pPr>
              <w:jc w:val="center"/>
            </w:pPr>
            <w:r w:rsidRPr="002256FE">
              <w:t>Unit Amanah Harga Tetap</w:t>
            </w:r>
          </w:p>
        </w:tc>
        <w:tc>
          <w:tcPr>
            <w:tcW w:w="3917" w:type="dxa"/>
            <w:shd w:val="clear" w:color="auto" w:fill="000000" w:themeFill="text1"/>
          </w:tcPr>
          <w:p w14:paraId="33EAE25E" w14:textId="77777777" w:rsidR="002256FE" w:rsidRPr="002256FE" w:rsidRDefault="002256FE" w:rsidP="002256FE">
            <w:pPr>
              <w:jc w:val="center"/>
            </w:pPr>
            <w:r w:rsidRPr="002256FE">
              <w:t>Unit Amanah Harga Berubah</w:t>
            </w:r>
          </w:p>
        </w:tc>
      </w:tr>
      <w:tr w:rsidR="002256FE" w:rsidRPr="002256FE" w14:paraId="6A34686A" w14:textId="77777777" w:rsidTr="002256FE">
        <w:tc>
          <w:tcPr>
            <w:tcW w:w="4446" w:type="dxa"/>
          </w:tcPr>
          <w:p w14:paraId="39CFCDB8" w14:textId="77777777" w:rsidR="002256FE" w:rsidRPr="002256FE" w:rsidRDefault="002256FE" w:rsidP="002256FE">
            <w:pPr>
              <w:numPr>
                <w:ilvl w:val="0"/>
                <w:numId w:val="8"/>
              </w:numPr>
              <w:tabs>
                <w:tab w:val="num" w:pos="453"/>
              </w:tabs>
              <w:spacing w:before="100" w:beforeAutospacing="1" w:after="100" w:afterAutospacing="1"/>
              <w:ind w:hanging="550"/>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Amanah Saham Bumiputera (ASB)</w:t>
            </w:r>
          </w:p>
          <w:p w14:paraId="7413D1AD" w14:textId="77777777" w:rsidR="002256FE" w:rsidRPr="002256FE" w:rsidRDefault="002256FE" w:rsidP="002256FE">
            <w:pPr>
              <w:numPr>
                <w:ilvl w:val="0"/>
                <w:numId w:val="8"/>
              </w:numPr>
              <w:tabs>
                <w:tab w:val="num" w:pos="453"/>
              </w:tabs>
              <w:spacing w:before="100" w:beforeAutospacing="1" w:after="100" w:afterAutospacing="1"/>
              <w:ind w:hanging="550"/>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Amanah Saham Bumiputera 2 (ASB 2)</w:t>
            </w:r>
          </w:p>
          <w:p w14:paraId="375FBEC7" w14:textId="77777777" w:rsidR="002256FE" w:rsidRPr="002256FE" w:rsidRDefault="002256FE" w:rsidP="002256FE">
            <w:pPr>
              <w:numPr>
                <w:ilvl w:val="0"/>
                <w:numId w:val="8"/>
              </w:numPr>
              <w:tabs>
                <w:tab w:val="num" w:pos="453"/>
              </w:tabs>
              <w:spacing w:before="100" w:beforeAutospacing="1" w:after="100" w:afterAutospacing="1"/>
              <w:ind w:hanging="550"/>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Amanah Saham Bumiputera 3 Didik (ASB 3 Didik)</w:t>
            </w:r>
          </w:p>
          <w:p w14:paraId="6F26A58B" w14:textId="77777777" w:rsidR="002256FE" w:rsidRPr="002256FE" w:rsidRDefault="002256FE" w:rsidP="002256FE">
            <w:pPr>
              <w:numPr>
                <w:ilvl w:val="0"/>
                <w:numId w:val="8"/>
              </w:numPr>
              <w:tabs>
                <w:tab w:val="num" w:pos="453"/>
              </w:tabs>
              <w:spacing w:before="100" w:beforeAutospacing="1" w:after="100" w:afterAutospacing="1"/>
              <w:ind w:hanging="550"/>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Amanah Saham Malaysia (ASM)</w:t>
            </w:r>
          </w:p>
          <w:p w14:paraId="38A9A9C0" w14:textId="77777777" w:rsidR="002256FE" w:rsidRPr="002256FE" w:rsidRDefault="002256FE" w:rsidP="002256FE">
            <w:pPr>
              <w:numPr>
                <w:ilvl w:val="0"/>
                <w:numId w:val="8"/>
              </w:numPr>
              <w:tabs>
                <w:tab w:val="num" w:pos="453"/>
              </w:tabs>
              <w:spacing w:before="100" w:beforeAutospacing="1" w:after="100" w:afterAutospacing="1"/>
              <w:ind w:hanging="550"/>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Amanah Saham Malaysia 2 - Wawasan (ASM 2 Wawasan)</w:t>
            </w:r>
          </w:p>
          <w:p w14:paraId="5FE20616" w14:textId="77777777" w:rsidR="002256FE" w:rsidRPr="002256FE" w:rsidRDefault="002256FE" w:rsidP="002256FE">
            <w:pPr>
              <w:numPr>
                <w:ilvl w:val="0"/>
                <w:numId w:val="8"/>
              </w:numPr>
              <w:tabs>
                <w:tab w:val="num" w:pos="453"/>
              </w:tabs>
              <w:spacing w:before="100" w:beforeAutospacing="1" w:after="100" w:afterAutospacing="1"/>
              <w:ind w:hanging="550"/>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Amanah Saham Malaysia 3 (ASM 3)</w:t>
            </w:r>
          </w:p>
          <w:p w14:paraId="7D1063F0" w14:textId="77777777" w:rsidR="002256FE" w:rsidRPr="002256FE" w:rsidRDefault="002256FE" w:rsidP="002256FE"/>
        </w:tc>
        <w:tc>
          <w:tcPr>
            <w:tcW w:w="3917" w:type="dxa"/>
          </w:tcPr>
          <w:p w14:paraId="78D6E83E" w14:textId="77777777" w:rsidR="002256FE" w:rsidRPr="002256FE" w:rsidRDefault="002256FE" w:rsidP="002256FE">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Amanah Saham Nasional (ASN)</w:t>
            </w:r>
          </w:p>
          <w:p w14:paraId="67988EAD" w14:textId="77777777" w:rsidR="002256FE" w:rsidRPr="002256FE" w:rsidRDefault="002256FE" w:rsidP="002256FE">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ASN Equity 2</w:t>
            </w:r>
          </w:p>
          <w:p w14:paraId="62A6824D" w14:textId="77777777" w:rsidR="002256FE" w:rsidRPr="002256FE" w:rsidRDefault="002256FE" w:rsidP="002256FE">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ASN Equity 3</w:t>
            </w:r>
          </w:p>
          <w:p w14:paraId="28E19CB1" w14:textId="77777777" w:rsidR="002256FE" w:rsidRPr="002256FE" w:rsidRDefault="002256FE" w:rsidP="002256FE">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ASN Equity 5</w:t>
            </w:r>
          </w:p>
          <w:p w14:paraId="7244E82C" w14:textId="77777777" w:rsidR="002256FE" w:rsidRPr="002256FE" w:rsidRDefault="002256FE" w:rsidP="002256FE">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ASN Equity Global</w:t>
            </w:r>
          </w:p>
          <w:p w14:paraId="588BD0D3" w14:textId="77777777" w:rsidR="002256FE" w:rsidRPr="002256FE" w:rsidRDefault="002256FE" w:rsidP="002256FE">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ASN Imbang 1</w:t>
            </w:r>
          </w:p>
          <w:p w14:paraId="06D71DC6" w14:textId="77777777" w:rsidR="002256FE" w:rsidRPr="002256FE" w:rsidRDefault="002256FE" w:rsidP="002256FE">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ASN Imbang 2</w:t>
            </w:r>
          </w:p>
          <w:p w14:paraId="059DF6B8" w14:textId="77777777" w:rsidR="002256FE" w:rsidRPr="002256FE" w:rsidRDefault="002256FE" w:rsidP="002256FE">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ASN Imbang 3 Global</w:t>
            </w:r>
          </w:p>
          <w:p w14:paraId="180EB6C1" w14:textId="77777777" w:rsidR="002256FE" w:rsidRPr="002256FE" w:rsidRDefault="002256FE" w:rsidP="002256FE">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ASN Sara 1</w:t>
            </w:r>
          </w:p>
          <w:p w14:paraId="0785CFA7" w14:textId="77777777" w:rsidR="002256FE" w:rsidRPr="002256FE" w:rsidRDefault="002256FE" w:rsidP="002256FE">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ASN Sara 2</w:t>
            </w:r>
          </w:p>
          <w:p w14:paraId="337BDC5C" w14:textId="77777777" w:rsidR="002256FE" w:rsidRPr="002256FE" w:rsidRDefault="002256FE" w:rsidP="002256FE">
            <w:pPr>
              <w:numPr>
                <w:ilvl w:val="0"/>
                <w:numId w:val="7"/>
              </w:numPr>
              <w:tabs>
                <w:tab w:val="num" w:pos="415"/>
              </w:tabs>
              <w:spacing w:before="100" w:beforeAutospacing="1" w:after="100" w:afterAutospacing="1"/>
              <w:ind w:hanging="588"/>
              <w:rPr>
                <w:rFonts w:ascii="Helvetica" w:eastAsia="Times New Roman" w:hAnsi="Helvetica" w:cs="Helvetica"/>
                <w:sz w:val="21"/>
                <w:szCs w:val="21"/>
                <w:lang w:eastAsia="zh-CN"/>
              </w:rPr>
            </w:pPr>
            <w:r w:rsidRPr="002256FE">
              <w:rPr>
                <w:rFonts w:ascii="Helvetica" w:eastAsia="Times New Roman" w:hAnsi="Helvetica" w:cs="Helvetica"/>
                <w:sz w:val="21"/>
                <w:szCs w:val="21"/>
                <w:lang w:eastAsia="zh-CN"/>
              </w:rPr>
              <w:t>ASN Sukuk</w:t>
            </w:r>
          </w:p>
          <w:p w14:paraId="31C19315" w14:textId="77777777" w:rsidR="002256FE" w:rsidRPr="002256FE" w:rsidRDefault="002256FE" w:rsidP="002256FE"/>
        </w:tc>
      </w:tr>
    </w:tbl>
    <w:p w14:paraId="0806201A" w14:textId="77777777" w:rsidR="002256FE" w:rsidRDefault="002256FE" w:rsidP="002256FE">
      <w:pPr>
        <w:pStyle w:val="Question"/>
        <w:numPr>
          <w:ilvl w:val="0"/>
          <w:numId w:val="0"/>
        </w:numPr>
        <w:ind w:left="567"/>
        <w:rPr>
          <w:lang w:val="en-US" w:eastAsia="en-MY"/>
        </w:rPr>
      </w:pPr>
    </w:p>
    <w:p w14:paraId="13C12621" w14:textId="198B1736" w:rsidR="00AF508B" w:rsidRPr="00F372BA" w:rsidRDefault="00AF508B" w:rsidP="00AF508B">
      <w:pPr>
        <w:pStyle w:val="Question"/>
        <w:rPr>
          <w:lang w:val="en-US" w:eastAsia="en-MY"/>
        </w:rPr>
      </w:pPr>
      <w:r w:rsidRPr="00F372BA">
        <w:rPr>
          <w:lang w:val="en-US" w:eastAsia="en-MY"/>
        </w:rPr>
        <w:t xml:space="preserve">Apakah tempoh </w:t>
      </w:r>
      <w:r w:rsidR="00F372BA" w:rsidRPr="00F372BA">
        <w:rPr>
          <w:lang w:val="en-US" w:eastAsia="en-MY"/>
        </w:rPr>
        <w:t>kempen</w:t>
      </w:r>
      <w:r w:rsidRPr="00F372BA">
        <w:rPr>
          <w:lang w:val="en-US" w:eastAsia="en-MY"/>
        </w:rPr>
        <w:t xml:space="preserve"> ini?</w:t>
      </w:r>
    </w:p>
    <w:p w14:paraId="2AF903DA" w14:textId="77777777" w:rsidR="00F372BA" w:rsidRDefault="00F372BA" w:rsidP="008D6BD2">
      <w:pPr>
        <w:pStyle w:val="Answer"/>
      </w:pPr>
    </w:p>
    <w:p w14:paraId="7FFEBA8A" w14:textId="4539B468" w:rsidR="008D6BD2" w:rsidRPr="00AD3A93" w:rsidRDefault="00F372BA" w:rsidP="002256FE">
      <w:pPr>
        <w:pStyle w:val="Answer"/>
        <w:ind w:left="0"/>
      </w:pPr>
      <w:r w:rsidRPr="00F372BA">
        <w:t xml:space="preserve">Tempoh kempen adalah dari 16 Ogos 2023 sehingga </w:t>
      </w:r>
      <w:r w:rsidR="00D751E2">
        <w:t>8 Oktober</w:t>
      </w:r>
      <w:r w:rsidRPr="00F372BA">
        <w:t xml:space="preserve"> 2023, termasuk dua tarikh tersebut.</w:t>
      </w:r>
      <w:r w:rsidR="00AF508B" w:rsidRPr="00AD3A93">
        <w:br/>
      </w:r>
      <w:r w:rsidR="00AF508B" w:rsidRPr="00AD3A93">
        <w:br/>
      </w:r>
      <w:r w:rsidR="005534BA" w:rsidRPr="005534BA">
        <w:t>Pulangan Tunai RM1 adalah terhad kepada Tujuh Puluh Ribu (70,000) pengguna terawal yang memenuhi syarat. Pulangan Tunai Bonus RM10 adalah terhad kepada Tiga Ribu (3,000) pengguna terawal yang memenuhi syarat. Kempen akan dihentikan apabila Pulangan Tunai telah digunakan sepenuhnya atau pada tamat Tempoh Kempen, yang mana lebih awal.</w:t>
      </w:r>
      <w:bookmarkStart w:id="7" w:name="_Hlk111754509"/>
    </w:p>
    <w:p w14:paraId="34EA9981" w14:textId="33EB13AC" w:rsidR="00F372BA" w:rsidRPr="00F372BA" w:rsidRDefault="008D6BD2" w:rsidP="00F372BA">
      <w:pPr>
        <w:pStyle w:val="Question"/>
        <w:rPr>
          <w:lang w:eastAsia="en-MY"/>
        </w:rPr>
      </w:pPr>
      <w:r w:rsidRPr="00AD3A93">
        <w:rPr>
          <w:lang w:eastAsia="en-MY"/>
        </w:rPr>
        <w:t xml:space="preserve">Adakah terdapat sebarang had/pembatasan bagi </w:t>
      </w:r>
      <w:r w:rsidR="002256FE">
        <w:rPr>
          <w:lang w:eastAsia="en-MY"/>
        </w:rPr>
        <w:t>kempen</w:t>
      </w:r>
      <w:r w:rsidRPr="00AD3A93">
        <w:rPr>
          <w:lang w:eastAsia="en-MY"/>
        </w:rPr>
        <w:t xml:space="preserve"> ini?</w:t>
      </w:r>
      <w:bookmarkEnd w:id="7"/>
    </w:p>
    <w:p w14:paraId="469BC966" w14:textId="77777777" w:rsidR="00F372BA" w:rsidRDefault="00F372BA" w:rsidP="00F372BA">
      <w:pPr>
        <w:pStyle w:val="Question"/>
        <w:numPr>
          <w:ilvl w:val="0"/>
          <w:numId w:val="0"/>
        </w:numPr>
        <w:ind w:left="567"/>
        <w:rPr>
          <w:b w:val="0"/>
          <w:bCs/>
          <w:color w:val="auto"/>
        </w:rPr>
      </w:pPr>
    </w:p>
    <w:p w14:paraId="27E81B37" w14:textId="296D3EF2" w:rsidR="00F372BA" w:rsidRPr="00F372BA" w:rsidRDefault="005534BA" w:rsidP="002256FE">
      <w:pPr>
        <w:pStyle w:val="Question"/>
        <w:numPr>
          <w:ilvl w:val="0"/>
          <w:numId w:val="0"/>
        </w:numPr>
        <w:rPr>
          <w:b w:val="0"/>
          <w:bCs/>
          <w:color w:val="auto"/>
        </w:rPr>
      </w:pPr>
      <w:r w:rsidRPr="005534BA">
        <w:rPr>
          <w:b w:val="0"/>
          <w:bCs/>
          <w:color w:val="auto"/>
        </w:rPr>
        <w:t>Pulangan Tunai RM1 adalah terhad kepada Tujuh Puluh Ribu (70,000) pengguna terawal yang memenuhi syarat. Pulangan Tunai Bonus RM10 adalah terhad kepada Tiga Ribu (3,000) pengguna terawal yang memenuhi syarat. Kempen akan dihentikan apabila Pulangan Tunai telah digunakan sepenuhnya atau pada tamat Tempoh Kempen, yang mana lebih awal.</w:t>
      </w:r>
    </w:p>
    <w:p w14:paraId="0627CC0C" w14:textId="77777777" w:rsidR="00F372BA" w:rsidRDefault="00F372BA" w:rsidP="00F372BA">
      <w:pPr>
        <w:pStyle w:val="Question"/>
        <w:numPr>
          <w:ilvl w:val="0"/>
          <w:numId w:val="0"/>
        </w:numPr>
        <w:ind w:left="567"/>
      </w:pPr>
    </w:p>
    <w:p w14:paraId="74A01827" w14:textId="52B811C7" w:rsidR="00F372BA" w:rsidRPr="00F372BA" w:rsidRDefault="00F372BA" w:rsidP="00F372BA">
      <w:pPr>
        <w:pStyle w:val="Question"/>
        <w:rPr>
          <w:lang w:eastAsia="en-MY"/>
        </w:rPr>
      </w:pPr>
      <w:r>
        <w:rPr>
          <w:lang w:eastAsia="en-MY"/>
        </w:rPr>
        <w:t>Bilakah saya akan menerima pulangan tunai?</w:t>
      </w:r>
    </w:p>
    <w:p w14:paraId="20A89E34" w14:textId="77777777" w:rsidR="00F372BA" w:rsidRPr="00F372BA" w:rsidRDefault="00F372BA" w:rsidP="00F372BA">
      <w:pPr>
        <w:pStyle w:val="Answer"/>
        <w:ind w:left="0"/>
      </w:pPr>
    </w:p>
    <w:bookmarkEnd w:id="0"/>
    <w:bookmarkEnd w:id="6"/>
    <w:p w14:paraId="1F479D64" w14:textId="67D72D13" w:rsidR="00A778C3" w:rsidRPr="008D6BD2" w:rsidRDefault="005534BA" w:rsidP="005534BA">
      <w:pPr>
        <w:pStyle w:val="Answer"/>
        <w:ind w:left="0"/>
      </w:pPr>
      <w:r w:rsidRPr="005534BA">
        <w:t>Pulangan Tunai RM1 dan Pulangan Tunai Bonus RM10 akan dikreditkan ke akaun Touch ‘n Go eWallet pengguna dalam masa Tiga Puluh(30) hari bekerja (Isnin hingga Jumaat tidak termasuk cuti umum Persekutuan) selepas tamat Tempoh Kempen. TNGD tidak akan membuat panggilan telefon berkenaan Kempen ini.</w:t>
      </w:r>
    </w:p>
    <w:sectPr w:rsidR="00A778C3" w:rsidRPr="008D6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D1201"/>
    <w:multiLevelType w:val="hybridMultilevel"/>
    <w:tmpl w:val="657A7B8E"/>
    <w:lvl w:ilvl="0" w:tplc="38AA534E">
      <w:start w:val="1"/>
      <w:numFmt w:val="decimal"/>
      <w:lvlText w:val="%1."/>
      <w:lvlJc w:val="left"/>
      <w:pPr>
        <w:ind w:left="720" w:hanging="360"/>
      </w:pPr>
      <w:rPr>
        <w:b w:val="0"/>
      </w:rPr>
    </w:lvl>
    <w:lvl w:ilvl="1" w:tplc="44090001">
      <w:start w:val="1"/>
      <w:numFmt w:val="bullet"/>
      <w:lvlText w:val=""/>
      <w:lvlJc w:val="left"/>
      <w:pPr>
        <w:ind w:left="1440" w:hanging="360"/>
      </w:pPr>
      <w:rPr>
        <w:rFonts w:ascii="Symbol" w:hAnsi="Symbol"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F0107A1"/>
    <w:multiLevelType w:val="hybridMultilevel"/>
    <w:tmpl w:val="25C2090C"/>
    <w:lvl w:ilvl="0" w:tplc="38AA534E">
      <w:start w:val="1"/>
      <w:numFmt w:val="decimal"/>
      <w:lvlText w:val="%1."/>
      <w:lvlJc w:val="left"/>
      <w:pPr>
        <w:ind w:left="720" w:hanging="360"/>
      </w:pPr>
      <w:rPr>
        <w:b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D6A52CE"/>
    <w:multiLevelType w:val="hybridMultilevel"/>
    <w:tmpl w:val="146E2E80"/>
    <w:lvl w:ilvl="0" w:tplc="2AA68192">
      <w:start w:val="1"/>
      <w:numFmt w:val="decimal"/>
      <w:pStyle w:val="Question"/>
      <w:lvlText w:val="Q%1"/>
      <w:lvlJc w:val="left"/>
      <w:pPr>
        <w:ind w:left="786"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2B67C4F"/>
    <w:multiLevelType w:val="multilevel"/>
    <w:tmpl w:val="6C8C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C6284"/>
    <w:multiLevelType w:val="hybridMultilevel"/>
    <w:tmpl w:val="4C48D232"/>
    <w:lvl w:ilvl="0" w:tplc="C50C001C">
      <w:start w:val="1"/>
      <w:numFmt w:val="decimal"/>
      <w:lvlText w:val="Q%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EB626D9"/>
    <w:multiLevelType w:val="multilevel"/>
    <w:tmpl w:val="3C9E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51267">
    <w:abstractNumId w:val="2"/>
  </w:num>
  <w:num w:numId="2" w16cid:durableId="1254316539">
    <w:abstractNumId w:val="4"/>
  </w:num>
  <w:num w:numId="3" w16cid:durableId="299845145">
    <w:abstractNumId w:val="2"/>
    <w:lvlOverride w:ilvl="0">
      <w:startOverride w:val="1"/>
    </w:lvlOverride>
  </w:num>
  <w:num w:numId="4" w16cid:durableId="354617145">
    <w:abstractNumId w:val="1"/>
  </w:num>
  <w:num w:numId="5" w16cid:durableId="1791894344">
    <w:abstractNumId w:val="0"/>
  </w:num>
  <w:num w:numId="6" w16cid:durableId="963124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3171309">
    <w:abstractNumId w:val="3"/>
  </w:num>
  <w:num w:numId="8" w16cid:durableId="723875191">
    <w:abstractNumId w:val="5"/>
  </w:num>
  <w:num w:numId="9" w16cid:durableId="629874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86"/>
    <w:rsid w:val="00104F61"/>
    <w:rsid w:val="001A6620"/>
    <w:rsid w:val="002256FE"/>
    <w:rsid w:val="002E583A"/>
    <w:rsid w:val="002F41F3"/>
    <w:rsid w:val="004F4867"/>
    <w:rsid w:val="00536FF7"/>
    <w:rsid w:val="005534BA"/>
    <w:rsid w:val="005565B7"/>
    <w:rsid w:val="00561DBD"/>
    <w:rsid w:val="00594C91"/>
    <w:rsid w:val="005A770A"/>
    <w:rsid w:val="006157C7"/>
    <w:rsid w:val="00631CD4"/>
    <w:rsid w:val="00694302"/>
    <w:rsid w:val="00754707"/>
    <w:rsid w:val="0077130C"/>
    <w:rsid w:val="007A6C7E"/>
    <w:rsid w:val="008D6BD2"/>
    <w:rsid w:val="00947690"/>
    <w:rsid w:val="00A1437B"/>
    <w:rsid w:val="00A778C3"/>
    <w:rsid w:val="00A96B30"/>
    <w:rsid w:val="00AA7D49"/>
    <w:rsid w:val="00AD3A93"/>
    <w:rsid w:val="00AF508B"/>
    <w:rsid w:val="00B53D6C"/>
    <w:rsid w:val="00B93E83"/>
    <w:rsid w:val="00BA3757"/>
    <w:rsid w:val="00C419ED"/>
    <w:rsid w:val="00C80B60"/>
    <w:rsid w:val="00CE27E0"/>
    <w:rsid w:val="00D751E2"/>
    <w:rsid w:val="00DA05E9"/>
    <w:rsid w:val="00DA6024"/>
    <w:rsid w:val="00DD2E18"/>
    <w:rsid w:val="00EC05FC"/>
    <w:rsid w:val="00ED2C86"/>
    <w:rsid w:val="00F12435"/>
    <w:rsid w:val="00F35EEE"/>
    <w:rsid w:val="00F372BA"/>
    <w:rsid w:val="00F431FE"/>
    <w:rsid w:val="00F455B4"/>
    <w:rsid w:val="00FE4D1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8781"/>
  <w15:chartTrackingRefBased/>
  <w15:docId w15:val="{F6DBA057-2E0A-46E5-9BE4-3B0A32A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2C86"/>
    <w:pPr>
      <w:ind w:left="720"/>
      <w:contextualSpacing/>
    </w:pPr>
  </w:style>
  <w:style w:type="paragraph" w:customStyle="1" w:styleId="Question">
    <w:name w:val="Question"/>
    <w:basedOn w:val="ListParagraph"/>
    <w:next w:val="Answer"/>
    <w:link w:val="QuestionChar"/>
    <w:qFormat/>
    <w:rsid w:val="00694302"/>
    <w:pPr>
      <w:numPr>
        <w:numId w:val="1"/>
      </w:numPr>
      <w:spacing w:after="0"/>
      <w:ind w:left="567" w:hanging="567"/>
    </w:pPr>
    <w:rPr>
      <w:b/>
      <w:color w:val="4472C4" w:themeColor="accent1"/>
    </w:rPr>
  </w:style>
  <w:style w:type="paragraph" w:customStyle="1" w:styleId="Answer">
    <w:name w:val="Answer"/>
    <w:basedOn w:val="Normal"/>
    <w:next w:val="Question"/>
    <w:link w:val="AnswerChar"/>
    <w:qFormat/>
    <w:rsid w:val="00A96B30"/>
    <w:pPr>
      <w:spacing w:before="20" w:after="240"/>
      <w:ind w:left="567"/>
      <w:contextualSpacing/>
    </w:pPr>
    <w:rPr>
      <w:rFonts w:eastAsia="Times New Roman" w:cstheme="minorHAnsi"/>
      <w:color w:val="000000" w:themeColor="text1"/>
      <w:lang w:eastAsia="en-MY"/>
    </w:rPr>
  </w:style>
  <w:style w:type="character" w:customStyle="1" w:styleId="ListParagraphChar">
    <w:name w:val="List Paragraph Char"/>
    <w:basedOn w:val="DefaultParagraphFont"/>
    <w:link w:val="ListParagraph"/>
    <w:uiPriority w:val="34"/>
    <w:rsid w:val="00ED2C86"/>
  </w:style>
  <w:style w:type="character" w:customStyle="1" w:styleId="QuestionChar">
    <w:name w:val="Question Char"/>
    <w:basedOn w:val="ListParagraphChar"/>
    <w:link w:val="Question"/>
    <w:rsid w:val="00694302"/>
    <w:rPr>
      <w:b/>
      <w:color w:val="4472C4" w:themeColor="accent1"/>
    </w:rPr>
  </w:style>
  <w:style w:type="character" w:customStyle="1" w:styleId="AnswerChar">
    <w:name w:val="Answer Char"/>
    <w:basedOn w:val="QuestionChar"/>
    <w:link w:val="Answer"/>
    <w:rsid w:val="00A96B30"/>
    <w:rPr>
      <w:rFonts w:eastAsia="Times New Roman" w:cstheme="minorHAnsi"/>
      <w:b w:val="0"/>
      <w:color w:val="000000" w:themeColor="text1"/>
      <w:lang w:eastAsia="en-MY"/>
    </w:rPr>
  </w:style>
  <w:style w:type="character" w:styleId="CommentReference">
    <w:name w:val="annotation reference"/>
    <w:basedOn w:val="DefaultParagraphFont"/>
    <w:uiPriority w:val="99"/>
    <w:semiHidden/>
    <w:unhideWhenUsed/>
    <w:rsid w:val="00B53D6C"/>
    <w:rPr>
      <w:sz w:val="16"/>
      <w:szCs w:val="16"/>
    </w:rPr>
  </w:style>
  <w:style w:type="paragraph" w:styleId="CommentText">
    <w:name w:val="annotation text"/>
    <w:basedOn w:val="Normal"/>
    <w:link w:val="CommentTextChar"/>
    <w:uiPriority w:val="99"/>
    <w:unhideWhenUsed/>
    <w:rsid w:val="00B53D6C"/>
    <w:pPr>
      <w:spacing w:line="240" w:lineRule="auto"/>
    </w:pPr>
    <w:rPr>
      <w:sz w:val="20"/>
      <w:szCs w:val="20"/>
    </w:rPr>
  </w:style>
  <w:style w:type="character" w:customStyle="1" w:styleId="CommentTextChar">
    <w:name w:val="Comment Text Char"/>
    <w:basedOn w:val="DefaultParagraphFont"/>
    <w:link w:val="CommentText"/>
    <w:uiPriority w:val="99"/>
    <w:rsid w:val="00B53D6C"/>
    <w:rPr>
      <w:sz w:val="20"/>
      <w:szCs w:val="20"/>
    </w:rPr>
  </w:style>
  <w:style w:type="paragraph" w:styleId="CommentSubject">
    <w:name w:val="annotation subject"/>
    <w:basedOn w:val="CommentText"/>
    <w:next w:val="CommentText"/>
    <w:link w:val="CommentSubjectChar"/>
    <w:uiPriority w:val="99"/>
    <w:semiHidden/>
    <w:unhideWhenUsed/>
    <w:rsid w:val="00B53D6C"/>
    <w:rPr>
      <w:b/>
      <w:bCs/>
    </w:rPr>
  </w:style>
  <w:style w:type="character" w:customStyle="1" w:styleId="CommentSubjectChar">
    <w:name w:val="Comment Subject Char"/>
    <w:basedOn w:val="CommentTextChar"/>
    <w:link w:val="CommentSubject"/>
    <w:uiPriority w:val="99"/>
    <w:semiHidden/>
    <w:rsid w:val="00B53D6C"/>
    <w:rPr>
      <w:b/>
      <w:bCs/>
      <w:sz w:val="20"/>
      <w:szCs w:val="20"/>
    </w:rPr>
  </w:style>
  <w:style w:type="paragraph" w:styleId="BalloonText">
    <w:name w:val="Balloon Text"/>
    <w:basedOn w:val="Normal"/>
    <w:link w:val="BalloonTextChar"/>
    <w:uiPriority w:val="99"/>
    <w:semiHidden/>
    <w:unhideWhenUsed/>
    <w:rsid w:val="00B53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D6C"/>
    <w:rPr>
      <w:rFonts w:ascii="Segoe UI" w:hAnsi="Segoe UI" w:cs="Segoe UI"/>
      <w:sz w:val="18"/>
      <w:szCs w:val="18"/>
    </w:rPr>
  </w:style>
  <w:style w:type="character" w:styleId="Strong">
    <w:name w:val="Strong"/>
    <w:basedOn w:val="DefaultParagraphFont"/>
    <w:uiPriority w:val="22"/>
    <w:qFormat/>
    <w:rsid w:val="00F431FE"/>
    <w:rPr>
      <w:b/>
      <w:bCs/>
    </w:rPr>
  </w:style>
  <w:style w:type="character" w:customStyle="1" w:styleId="TNCListChar">
    <w:name w:val="TNC List Char"/>
    <w:basedOn w:val="DefaultParagraphFont"/>
    <w:link w:val="TNCList"/>
    <w:locked/>
    <w:rsid w:val="005565B7"/>
    <w:rPr>
      <w:rFonts w:ascii="Calibri" w:hAnsi="Calibri" w:cstheme="minorHAnsi"/>
    </w:rPr>
  </w:style>
  <w:style w:type="paragraph" w:customStyle="1" w:styleId="TNCList">
    <w:name w:val="TNC List"/>
    <w:basedOn w:val="Normal"/>
    <w:link w:val="TNCListChar"/>
    <w:qFormat/>
    <w:rsid w:val="005565B7"/>
    <w:pPr>
      <w:spacing w:before="200" w:after="200" w:line="256" w:lineRule="auto"/>
      <w:ind w:left="714" w:hanging="357"/>
      <w:jc w:val="both"/>
    </w:pPr>
    <w:rPr>
      <w:rFonts w:ascii="Calibri" w:hAnsi="Calibri" w:cstheme="minorHAnsi"/>
    </w:rPr>
  </w:style>
  <w:style w:type="paragraph" w:styleId="Revision">
    <w:name w:val="Revision"/>
    <w:hidden/>
    <w:uiPriority w:val="99"/>
    <w:semiHidden/>
    <w:rsid w:val="00947690"/>
    <w:pPr>
      <w:spacing w:after="0" w:line="240" w:lineRule="auto"/>
    </w:pPr>
  </w:style>
  <w:style w:type="table" w:styleId="TableGrid">
    <w:name w:val="Table Grid"/>
    <w:basedOn w:val="TableNormal"/>
    <w:uiPriority w:val="39"/>
    <w:rsid w:val="00F3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13223">
      <w:bodyDiv w:val="1"/>
      <w:marLeft w:val="0"/>
      <w:marRight w:val="0"/>
      <w:marTop w:val="0"/>
      <w:marBottom w:val="0"/>
      <w:divBdr>
        <w:top w:val="none" w:sz="0" w:space="0" w:color="auto"/>
        <w:left w:val="none" w:sz="0" w:space="0" w:color="auto"/>
        <w:bottom w:val="none" w:sz="0" w:space="0" w:color="auto"/>
        <w:right w:val="none" w:sz="0" w:space="0" w:color="auto"/>
      </w:divBdr>
    </w:div>
    <w:div w:id="17221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Gooi Harvey</dc:creator>
  <cp:keywords/>
  <dc:description/>
  <cp:lastModifiedBy>Teoh Jessy</cp:lastModifiedBy>
  <cp:revision>3</cp:revision>
  <dcterms:created xsi:type="dcterms:W3CDTF">2023-08-08T07:25:00Z</dcterms:created>
  <dcterms:modified xsi:type="dcterms:W3CDTF">2023-08-09T09:01:00Z</dcterms:modified>
</cp:coreProperties>
</file>